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81CD" w14:textId="304894B8" w:rsidR="00F2146A" w:rsidRDefault="00B91B8F" w:rsidP="00F214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FINAL</w:t>
      </w:r>
    </w:p>
    <w:p w14:paraId="16F76E44" w14:textId="77777777" w:rsidR="00F2146A" w:rsidRDefault="00F2146A" w:rsidP="00F214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2D4DE38C" w14:textId="0289ADED" w:rsidR="00F2146A" w:rsidRDefault="00B91B8F" w:rsidP="2C7ECC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>November</w:t>
      </w:r>
      <w:bookmarkStart w:id="0" w:name="_Int_XTMdAzZ4"/>
      <w:r w:rsidR="00F2146A" w:rsidRPr="2C7ECC38">
        <w:rPr>
          <w:rStyle w:val="normaltextrun"/>
          <w:rFonts w:ascii="Century Gothic" w:hAnsi="Century Gothic" w:cs="Segoe UI"/>
          <w:sz w:val="22"/>
          <w:szCs w:val="22"/>
        </w:rPr>
        <w:t xml:space="preserve"> 2023</w:t>
      </w:r>
      <w:bookmarkEnd w:id="0"/>
    </w:p>
    <w:p w14:paraId="201F3838" w14:textId="51919B46" w:rsidR="00F2146A" w:rsidRPr="00B03D84" w:rsidRDefault="00F2146A" w:rsidP="00F2146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sz w:val="22"/>
          <w:szCs w:val="22"/>
        </w:rPr>
      </w:pPr>
    </w:p>
    <w:p w14:paraId="5DD46722" w14:textId="37060755" w:rsidR="00C30529" w:rsidRPr="00C30529" w:rsidRDefault="00C30529" w:rsidP="2C7ECC38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sz w:val="40"/>
          <w:szCs w:val="40"/>
        </w:rPr>
      </w:pPr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Gender </w:t>
      </w:r>
      <w:bookmarkStart w:id="1" w:name="_Int_mXUZQMeX"/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>pay</w:t>
      </w:r>
      <w:bookmarkEnd w:id="1"/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gap </w:t>
      </w:r>
      <w:r w:rsidR="007F2260"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narrows </w:t>
      </w:r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>for FTSE 100 board directors</w:t>
      </w:r>
      <w:r w:rsidR="00F2146A"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but progress remains slow</w:t>
      </w:r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– average pay for women £309k</w:t>
      </w:r>
      <w:r w:rsidR="007F2260"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vs.</w:t>
      </w:r>
      <w:r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£1.04m</w:t>
      </w:r>
      <w:r w:rsidR="007F2260" w:rsidRPr="2C7ECC38">
        <w:rPr>
          <w:rStyle w:val="normaltextrun"/>
          <w:rFonts w:ascii="Century Gothic" w:hAnsi="Century Gothic" w:cs="Segoe UI"/>
          <w:b/>
          <w:bCs/>
          <w:sz w:val="40"/>
          <w:szCs w:val="40"/>
        </w:rPr>
        <w:t xml:space="preserve"> for men</w:t>
      </w:r>
    </w:p>
    <w:p w14:paraId="70023DBB" w14:textId="77777777" w:rsidR="00F2146A" w:rsidRPr="00AF19C8" w:rsidRDefault="00F2146A" w:rsidP="00F2146A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2"/>
          <w:szCs w:val="22"/>
        </w:rPr>
      </w:pPr>
    </w:p>
    <w:p w14:paraId="2E18014C" w14:textId="76946AD0" w:rsidR="0007014F" w:rsidRPr="0007014F" w:rsidRDefault="00C30529" w:rsidP="2C7ECC38">
      <w:pPr>
        <w:pStyle w:val="paragraph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b/>
          <w:bCs/>
          <w:sz w:val="22"/>
          <w:szCs w:val="22"/>
        </w:rPr>
      </w:pPr>
      <w:r w:rsidRPr="086EF74E">
        <w:rPr>
          <w:rFonts w:ascii="Century Gothic" w:hAnsi="Century Gothic" w:cs="Segoe UI"/>
          <w:b/>
          <w:bCs/>
          <w:sz w:val="22"/>
          <w:szCs w:val="22"/>
        </w:rPr>
        <w:t>Average pay gap shrunk from 74% in 2021 to 70% in 2022</w:t>
      </w:r>
    </w:p>
    <w:p w14:paraId="7D88EEF6" w14:textId="548D3609" w:rsidR="6DAD0D1C" w:rsidRDefault="6DAD0D1C" w:rsidP="086EF74E">
      <w:pPr>
        <w:pStyle w:val="paragraph"/>
        <w:numPr>
          <w:ilvl w:val="0"/>
          <w:numId w:val="4"/>
        </w:numPr>
        <w:spacing w:before="0" w:beforeAutospacing="0" w:after="0" w:afterAutospacing="0"/>
        <w:jc w:val="center"/>
        <w:rPr>
          <w:rFonts w:ascii="Century Gothic" w:hAnsi="Century Gothic" w:cs="Segoe UI"/>
          <w:b/>
          <w:bCs/>
          <w:sz w:val="22"/>
          <w:szCs w:val="22"/>
        </w:rPr>
      </w:pPr>
      <w:r w:rsidRPr="086EF74E">
        <w:rPr>
          <w:rFonts w:ascii="Century Gothic" w:hAnsi="Century Gothic" w:cs="Segoe UI"/>
          <w:b/>
          <w:bCs/>
          <w:sz w:val="22"/>
          <w:szCs w:val="22"/>
        </w:rPr>
        <w:t xml:space="preserve">Only </w:t>
      </w:r>
      <w:r w:rsidR="2C9D03DC" w:rsidRPr="086EF74E">
        <w:rPr>
          <w:rFonts w:ascii="Century Gothic" w:hAnsi="Century Gothic" w:cs="Segoe UI"/>
          <w:b/>
          <w:bCs/>
          <w:sz w:val="22"/>
          <w:szCs w:val="22"/>
        </w:rPr>
        <w:t>9</w:t>
      </w:r>
      <w:r w:rsidRPr="086EF74E">
        <w:rPr>
          <w:rFonts w:ascii="Century Gothic" w:hAnsi="Century Gothic" w:cs="Segoe UI"/>
          <w:b/>
          <w:bCs/>
          <w:sz w:val="22"/>
          <w:szCs w:val="22"/>
        </w:rPr>
        <w:t xml:space="preserve">% of female board roles are the higher paid and typically more influential </w:t>
      </w:r>
      <w:r w:rsidRPr="086EF74E">
        <w:rPr>
          <w:rFonts w:ascii="Century Gothic" w:hAnsi="Century Gothic" w:cs="Segoe UI"/>
          <w:b/>
          <w:bCs/>
          <w:sz w:val="22"/>
          <w:szCs w:val="22"/>
          <w:u w:val="single"/>
        </w:rPr>
        <w:t>executive</w:t>
      </w:r>
      <w:r w:rsidRPr="086EF74E">
        <w:rPr>
          <w:rFonts w:ascii="Century Gothic" w:hAnsi="Century Gothic" w:cs="Segoe UI"/>
          <w:b/>
          <w:bCs/>
          <w:sz w:val="22"/>
          <w:szCs w:val="22"/>
        </w:rPr>
        <w:t xml:space="preserve"> roles</w:t>
      </w:r>
    </w:p>
    <w:p w14:paraId="214B5DC3" w14:textId="0EA5A38B" w:rsidR="6DAD0D1C" w:rsidRDefault="6DAD0D1C" w:rsidP="086EF74E">
      <w:pPr>
        <w:pStyle w:val="paragraph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</w:rPr>
      </w:pPr>
      <w:r w:rsidRPr="086EF74E">
        <w:rPr>
          <w:rFonts w:ascii="Century Gothic" w:hAnsi="Century Gothic" w:cs="Segoe UI"/>
          <w:b/>
          <w:bCs/>
          <w:sz w:val="22"/>
          <w:szCs w:val="22"/>
        </w:rPr>
        <w:t>9</w:t>
      </w:r>
      <w:r w:rsidR="4FFBB423" w:rsidRPr="086EF74E">
        <w:rPr>
          <w:rFonts w:ascii="Century Gothic" w:hAnsi="Century Gothic" w:cs="Segoe UI"/>
          <w:b/>
          <w:bCs/>
          <w:sz w:val="22"/>
          <w:szCs w:val="22"/>
        </w:rPr>
        <w:t>1</w:t>
      </w:r>
      <w:r w:rsidRPr="086EF74E">
        <w:rPr>
          <w:rFonts w:ascii="Century Gothic" w:hAnsi="Century Gothic" w:cs="Segoe UI"/>
          <w:b/>
          <w:bCs/>
          <w:sz w:val="22"/>
          <w:szCs w:val="22"/>
        </w:rPr>
        <w:t xml:space="preserve">% of female board roles are non-executive </w:t>
      </w:r>
    </w:p>
    <w:p w14:paraId="4E34B4F7" w14:textId="77777777" w:rsidR="00C30529" w:rsidRDefault="00C30529" w:rsidP="00C305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B9D4F38" w14:textId="487F388D" w:rsidR="00740D65" w:rsidRDefault="00C30529" w:rsidP="00C30529">
      <w:r>
        <w:t xml:space="preserve">The gender pay gap for FTSE 100 board directors narrowed in </w:t>
      </w:r>
      <w:r w:rsidR="001175FE">
        <w:t xml:space="preserve">2022 </w:t>
      </w:r>
      <w:r w:rsidR="003F0F49">
        <w:t>but</w:t>
      </w:r>
      <w:r>
        <w:t xml:space="preserve"> </w:t>
      </w:r>
      <w:bookmarkStart w:id="2" w:name="_Int_Sobn5IHz"/>
      <w:r w:rsidR="671119C3">
        <w:t>still remains</w:t>
      </w:r>
      <w:bookmarkEnd w:id="2"/>
      <w:r w:rsidR="671119C3">
        <w:t xml:space="preserve"> markedly high</w:t>
      </w:r>
      <w:r w:rsidR="00AA2548">
        <w:t>,</w:t>
      </w:r>
      <w:r w:rsidR="007F2260">
        <w:t xml:space="preserve"> with</w:t>
      </w:r>
      <w:r>
        <w:t xml:space="preserve"> </w:t>
      </w:r>
      <w:r w:rsidR="007F2260">
        <w:t xml:space="preserve">the average pay for </w:t>
      </w:r>
      <w:r>
        <w:t xml:space="preserve">women </w:t>
      </w:r>
      <w:r w:rsidR="001175FE">
        <w:t>directors (</w:t>
      </w:r>
      <w:r>
        <w:t>£309,000</w:t>
      </w:r>
      <w:r w:rsidR="001175FE">
        <w:t>)</w:t>
      </w:r>
      <w:r w:rsidR="007F2260">
        <w:t xml:space="preserve"> </w:t>
      </w:r>
      <w:r w:rsidR="003F0F49">
        <w:t xml:space="preserve">70% less than the average pay for male </w:t>
      </w:r>
      <w:r w:rsidR="13066DEB">
        <w:t xml:space="preserve">board </w:t>
      </w:r>
      <w:r w:rsidR="003F0F49">
        <w:t xml:space="preserve">directors </w:t>
      </w:r>
      <w:r w:rsidR="001175FE">
        <w:t>(</w:t>
      </w:r>
      <w:r>
        <w:t>£1.04m</w:t>
      </w:r>
      <w:r w:rsidR="001175FE">
        <w:t>)</w:t>
      </w:r>
      <w:r w:rsidR="007F2260">
        <w:t xml:space="preserve">, </w:t>
      </w:r>
      <w:r w:rsidR="001175FE">
        <w:t>shows new research by</w:t>
      </w:r>
      <w:r w:rsidR="007F2260">
        <w:t xml:space="preserve"> Fox</w:t>
      </w:r>
      <w:r w:rsidR="00DD3CE9">
        <w:t xml:space="preserve"> &amp; Partners</w:t>
      </w:r>
      <w:r w:rsidR="007F2260">
        <w:t xml:space="preserve">, </w:t>
      </w:r>
      <w:r w:rsidR="00AA2548">
        <w:t>the employment and partnership law specialists</w:t>
      </w:r>
      <w:r>
        <w:t>.</w:t>
      </w:r>
    </w:p>
    <w:p w14:paraId="49B916D2" w14:textId="77777777" w:rsidR="001175FE" w:rsidRDefault="001175FE" w:rsidP="00C30529"/>
    <w:p w14:paraId="29148A02" w14:textId="3CB605AF" w:rsidR="001175FE" w:rsidRDefault="001175FE" w:rsidP="00740D65">
      <w:pPr>
        <w:rPr>
          <w:rFonts w:eastAsia="Times New Roman" w:cs="Calibri"/>
          <w:color w:val="000000"/>
          <w:kern w:val="0"/>
          <w:lang w:eastAsia="en-GB"/>
          <w14:ligatures w14:val="none"/>
        </w:rPr>
      </w:pPr>
      <w:r>
        <w:t>The</w:t>
      </w:r>
      <w:r w:rsidR="44588E2D">
        <w:t xml:space="preserve"> FTSE 100 gender pay</w:t>
      </w:r>
      <w:r>
        <w:t xml:space="preserve"> gap narrowed </w:t>
      </w:r>
      <w:r w:rsidR="65DB4481">
        <w:t>in the last year from</w:t>
      </w:r>
      <w:r>
        <w:t xml:space="preserve"> 74% </w:t>
      </w:r>
      <w:r w:rsidR="005D45A1">
        <w:t xml:space="preserve">as pay for women directors went up at a </w:t>
      </w:r>
      <w:r w:rsidR="00B03D84">
        <w:t>faster</w:t>
      </w:r>
      <w:r w:rsidR="005D45A1">
        <w:t xml:space="preserve"> rate than men</w:t>
      </w:r>
      <w:r w:rsidR="00DC2B85">
        <w:t xml:space="preserve"> last year</w:t>
      </w:r>
      <w:r w:rsidR="005D45A1">
        <w:t xml:space="preserve">. </w:t>
      </w:r>
      <w:r w:rsidR="00740D65">
        <w:t>Average female</w:t>
      </w:r>
      <w:r w:rsidR="7EA1DB29">
        <w:t xml:space="preserve"> board</w:t>
      </w:r>
      <w:r w:rsidR="00740D65">
        <w:t xml:space="preserve"> director </w:t>
      </w:r>
      <w:bookmarkStart w:id="3" w:name="_Int_jAftvM4H"/>
      <w:r w:rsidR="00740D65">
        <w:t>pay</w:t>
      </w:r>
      <w:bookmarkEnd w:id="3"/>
      <w:r w:rsidR="00740D65">
        <w:t xml:space="preserve"> </w:t>
      </w:r>
      <w:r w:rsidR="5C7106D5">
        <w:t>increased</w:t>
      </w:r>
      <w:r w:rsidR="00740D65">
        <w:t xml:space="preserve"> </w:t>
      </w:r>
      <w:r w:rsidR="0E066DA5">
        <w:t xml:space="preserve">by </w:t>
      </w:r>
      <w:r w:rsidR="00740D65">
        <w:t xml:space="preserve">26% in 2022 to £308,984 from £245,525 in 2021. Average male director </w:t>
      </w:r>
      <w:bookmarkStart w:id="4" w:name="_Int_V9UsNDlD"/>
      <w:r w:rsidR="00740D65">
        <w:t>pay</w:t>
      </w:r>
      <w:bookmarkEnd w:id="4"/>
      <w:r w:rsidR="00740D65">
        <w:t xml:space="preserve"> increased by 11% to £1.04m in 2022 from £</w:t>
      </w:r>
      <w:r w:rsidR="00740D65" w:rsidRPr="00740D65">
        <w:rPr>
          <w:rFonts w:eastAsia="Times New Roman" w:cs="Calibri"/>
          <w:color w:val="000000"/>
          <w:kern w:val="0"/>
          <w:lang w:eastAsia="en-GB"/>
          <w14:ligatures w14:val="none"/>
        </w:rPr>
        <w:t>935,235</w:t>
      </w:r>
      <w:r w:rsidR="00DC2B85">
        <w:rPr>
          <w:rFonts w:eastAsia="Times New Roman" w:cs="Calibri"/>
          <w:color w:val="000000"/>
          <w:kern w:val="0"/>
          <w:lang w:eastAsia="en-GB"/>
          <w14:ligatures w14:val="none"/>
        </w:rPr>
        <w:t xml:space="preserve"> in 2021</w:t>
      </w:r>
      <w:r w:rsidR="00740D65">
        <w:rPr>
          <w:rFonts w:eastAsia="Times New Roman" w:cs="Calibri"/>
          <w:color w:val="000000"/>
          <w:kern w:val="0"/>
          <w:lang w:eastAsia="en-GB"/>
          <w14:ligatures w14:val="none"/>
        </w:rPr>
        <w:t>.</w:t>
      </w:r>
    </w:p>
    <w:p w14:paraId="006B10E6" w14:textId="49C0D36D" w:rsidR="00740D65" w:rsidRDefault="00740D65" w:rsidP="005D45A1"/>
    <w:p w14:paraId="708E4641" w14:textId="06AE6AB8" w:rsidR="00740D65" w:rsidRDefault="00740D65" w:rsidP="086EF74E">
      <w:r>
        <w:t xml:space="preserve">However, </w:t>
      </w:r>
      <w:r w:rsidR="51AB531C">
        <w:t xml:space="preserve">Catriona Watt, Partner at Fox &amp; Partners explains that </w:t>
      </w:r>
      <w:r>
        <w:t xml:space="preserve">the </w:t>
      </w:r>
      <w:r w:rsidR="00B03D84">
        <w:t xml:space="preserve">pay </w:t>
      </w:r>
      <w:r>
        <w:t xml:space="preserve">gap remains </w:t>
      </w:r>
      <w:bookmarkStart w:id="5" w:name="_Int_8NWyETjk"/>
      <w:r w:rsidR="00B03D84">
        <w:t>very high</w:t>
      </w:r>
      <w:bookmarkEnd w:id="5"/>
      <w:r w:rsidR="5BB164B2">
        <w:t xml:space="preserve">, </w:t>
      </w:r>
      <w:r w:rsidR="00DD3CE9">
        <w:t xml:space="preserve">in part </w:t>
      </w:r>
      <w:r w:rsidR="5BB164B2">
        <w:t xml:space="preserve">because </w:t>
      </w:r>
      <w:bookmarkStart w:id="6" w:name="_Int_GQb83NIS"/>
      <w:r w:rsidR="5BB164B2">
        <w:t>the vast majority of</w:t>
      </w:r>
      <w:bookmarkEnd w:id="6"/>
      <w:r w:rsidR="5BB164B2">
        <w:t xml:space="preserve"> women board directors are in </w:t>
      </w:r>
      <w:r w:rsidR="00DD3CE9">
        <w:t xml:space="preserve">typically </w:t>
      </w:r>
      <w:r w:rsidR="5BB164B2">
        <w:t>lower paid non-executive roles</w:t>
      </w:r>
      <w:r>
        <w:t>.</w:t>
      </w:r>
    </w:p>
    <w:p w14:paraId="00FD93A6" w14:textId="4B81FAD8" w:rsidR="00740D65" w:rsidRDefault="00740D65" w:rsidP="086EF74E"/>
    <w:p w14:paraId="6CF6D3EC" w14:textId="2B813B34" w:rsidR="00740D65" w:rsidRDefault="775DF921" w:rsidP="086EF74E">
      <w:r>
        <w:t>9</w:t>
      </w:r>
      <w:r w:rsidR="00A7AFB5">
        <w:t>1</w:t>
      </w:r>
      <w:r>
        <w:t xml:space="preserve">% of the </w:t>
      </w:r>
      <w:r w:rsidR="5DE2460B">
        <w:t>426</w:t>
      </w:r>
      <w:r>
        <w:t xml:space="preserve"> female directors at FTSE 100 companies were </w:t>
      </w:r>
      <w:r w:rsidR="00DD3CE9">
        <w:t xml:space="preserve">in a </w:t>
      </w:r>
      <w:r>
        <w:t>non-executive</w:t>
      </w:r>
      <w:r w:rsidR="00DD3CE9">
        <w:t xml:space="preserve"> role</w:t>
      </w:r>
      <w:r w:rsidR="163CC1E3">
        <w:t xml:space="preserve"> which </w:t>
      </w:r>
      <w:r w:rsidR="4391BC6E">
        <w:t>typically car</w:t>
      </w:r>
      <w:r w:rsidR="3DB314E6">
        <w:t>ries</w:t>
      </w:r>
      <w:r w:rsidR="4391BC6E">
        <w:t xml:space="preserve"> less day-to-day </w:t>
      </w:r>
      <w:r w:rsidR="31BA0EEE">
        <w:t>authority</w:t>
      </w:r>
      <w:r>
        <w:t xml:space="preserve">. Women executive directors were paid on average more than 20 times (£2.4m) the average amount paid to female non-executive directors (£118,738). </w:t>
      </w:r>
      <w:r w:rsidR="45919ACF">
        <w:t>The average pay of m</w:t>
      </w:r>
      <w:r w:rsidR="475C05FE">
        <w:t>ale executive directors (£3.3m) w</w:t>
      </w:r>
      <w:r w:rsidR="0600EB30">
        <w:t xml:space="preserve">as </w:t>
      </w:r>
      <w:r w:rsidR="475C05FE">
        <w:t>more than 18 times</w:t>
      </w:r>
      <w:r w:rsidR="38B63CF1">
        <w:t xml:space="preserve"> the average pay of male non-executives</w:t>
      </w:r>
      <w:r w:rsidR="475C05FE">
        <w:t xml:space="preserve"> </w:t>
      </w:r>
      <w:r w:rsidR="18832D91">
        <w:t>(£</w:t>
      </w:r>
      <w:r w:rsidR="475C05FE">
        <w:t>1</w:t>
      </w:r>
      <w:r w:rsidR="70CEF2C2">
        <w:t>79,892</w:t>
      </w:r>
      <w:r w:rsidR="4B6CCC3E">
        <w:t>).</w:t>
      </w:r>
    </w:p>
    <w:p w14:paraId="26B8B4BA" w14:textId="038C2A4F" w:rsidR="00740D65" w:rsidRDefault="00740D65" w:rsidP="00740D65"/>
    <w:p w14:paraId="513AB416" w14:textId="6198C3DC" w:rsidR="00740D65" w:rsidRDefault="0007014F" w:rsidP="00740D65">
      <w:r>
        <w:t>M</w:t>
      </w:r>
      <w:r w:rsidR="00740D65">
        <w:t xml:space="preserve">en are </w:t>
      </w:r>
      <w:r w:rsidR="2F2D29AD">
        <w:t xml:space="preserve">still </w:t>
      </w:r>
      <w:r w:rsidR="00740D65">
        <w:t xml:space="preserve">paid </w:t>
      </w:r>
      <w:r>
        <w:t xml:space="preserve">significantly </w:t>
      </w:r>
      <w:r w:rsidR="00740D65">
        <w:t xml:space="preserve">more than women both </w:t>
      </w:r>
      <w:r>
        <w:t>for</w:t>
      </w:r>
      <w:r w:rsidR="00740D65">
        <w:t xml:space="preserve"> executive and </w:t>
      </w:r>
      <w:r w:rsidR="00AA2548">
        <w:t>non-</w:t>
      </w:r>
      <w:r w:rsidR="00740D65">
        <w:t xml:space="preserve">executive roles. On average, male non-executives (£179,892) </w:t>
      </w:r>
      <w:r w:rsidR="00B03D84">
        <w:t>were</w:t>
      </w:r>
      <w:r w:rsidR="00740D65">
        <w:t xml:space="preserve"> paid 52% more than females (£118,738)</w:t>
      </w:r>
      <w:r w:rsidR="5FE5CBE6">
        <w:t xml:space="preserve"> </w:t>
      </w:r>
      <w:r w:rsidR="76093AED">
        <w:t>--</w:t>
      </w:r>
      <w:r w:rsidR="5FE5CBE6">
        <w:t xml:space="preserve"> that is partly because they </w:t>
      </w:r>
      <w:r w:rsidR="00DD3CE9">
        <w:t xml:space="preserve">tend to </w:t>
      </w:r>
      <w:r w:rsidR="5FE5CBE6">
        <w:t>have a higher share of more senior non-exec roles such as “Chairman”</w:t>
      </w:r>
      <w:r>
        <w:t>. M</w:t>
      </w:r>
      <w:r w:rsidR="00740D65">
        <w:t xml:space="preserve">ale executives (£3.3m) </w:t>
      </w:r>
      <w:r w:rsidR="00B03D84">
        <w:t>were</w:t>
      </w:r>
      <w:r w:rsidR="00740D65">
        <w:t xml:space="preserve"> paid 38% more than female executives (£2.4m).</w:t>
      </w:r>
    </w:p>
    <w:p w14:paraId="53B9CB15" w14:textId="77777777" w:rsidR="00AA2548" w:rsidRDefault="00AA2548" w:rsidP="00740D65"/>
    <w:p w14:paraId="30C1A979" w14:textId="2DEF3C02" w:rsidR="00AA2548" w:rsidRDefault="00AA2548" w:rsidP="00740D65">
      <w:r>
        <w:t>Catriona Watt</w:t>
      </w:r>
      <w:r w:rsidR="664C624A">
        <w:t xml:space="preserve"> </w:t>
      </w:r>
      <w:r>
        <w:t>says</w:t>
      </w:r>
      <w:r w:rsidR="692B5CE3">
        <w:t>;</w:t>
      </w:r>
      <w:r>
        <w:t xml:space="preserve"> “While the latest data shows improvement, there </w:t>
      </w:r>
      <w:r w:rsidR="51E7CF89">
        <w:t xml:space="preserve">still remains a yawning </w:t>
      </w:r>
      <w:r>
        <w:t xml:space="preserve">gap in </w:t>
      </w:r>
      <w:r w:rsidR="1D2C6218">
        <w:t xml:space="preserve">director </w:t>
      </w:r>
      <w:r>
        <w:t xml:space="preserve">pay between the </w:t>
      </w:r>
      <w:r w:rsidR="00232F42">
        <w:t>genders</w:t>
      </w:r>
      <w:r>
        <w:t>.</w:t>
      </w:r>
      <w:r w:rsidR="313A4222">
        <w:t>”</w:t>
      </w:r>
    </w:p>
    <w:p w14:paraId="459E78A0" w14:textId="101A39F1" w:rsidR="00AA2548" w:rsidRDefault="00AA2548" w:rsidP="00740D65"/>
    <w:p w14:paraId="01B02F54" w14:textId="138052BA" w:rsidR="00AA2548" w:rsidRDefault="313A4222" w:rsidP="00740D65">
      <w:r>
        <w:t>“</w:t>
      </w:r>
      <w:r w:rsidR="00232F42">
        <w:t xml:space="preserve">For </w:t>
      </w:r>
      <w:bookmarkStart w:id="7" w:name="_Int_TIezxa5C"/>
      <w:r w:rsidR="00232F42">
        <w:t>significant change</w:t>
      </w:r>
      <w:bookmarkEnd w:id="7"/>
      <w:r w:rsidR="00232F42">
        <w:t xml:space="preserve"> to occur, </w:t>
      </w:r>
      <w:r w:rsidR="108CB4BB">
        <w:t xml:space="preserve">business will need to continue investing in programmes that prepare women for the most </w:t>
      </w:r>
      <w:r w:rsidR="00232F42">
        <w:t>senior</w:t>
      </w:r>
      <w:r w:rsidR="3C8208E2">
        <w:t xml:space="preserve"> executive</w:t>
      </w:r>
      <w:r w:rsidR="00232F42">
        <w:t xml:space="preserve"> positions</w:t>
      </w:r>
      <w:r w:rsidR="258BF9C1">
        <w:t xml:space="preserve">, for example by ensuring that they have access to projects that </w:t>
      </w:r>
      <w:r w:rsidR="00DD3CE9">
        <w:t>bolster their experience</w:t>
      </w:r>
      <w:r w:rsidR="0076755E">
        <w:t xml:space="preserve"> and address any potential gaps, as well as being transparent about requirements for promotions and progression</w:t>
      </w:r>
      <w:r w:rsidR="00DD3CE9">
        <w:t xml:space="preserve"> </w:t>
      </w:r>
      <w:r w:rsidR="00232F42">
        <w:t>.</w:t>
      </w:r>
      <w:r w:rsidR="281D7621">
        <w:t>”</w:t>
      </w:r>
    </w:p>
    <w:p w14:paraId="4D81099A" w14:textId="4755D52E" w:rsidR="086EF74E" w:rsidRDefault="086EF74E" w:rsidP="086EF74E">
      <w:pPr>
        <w:rPr>
          <w:i/>
          <w:iCs/>
        </w:rPr>
      </w:pPr>
    </w:p>
    <w:p w14:paraId="435FE224" w14:textId="34010331" w:rsidR="00B91B8F" w:rsidRDefault="482B7BC7" w:rsidP="086EF74E">
      <w:pPr>
        <w:rPr>
          <w:rFonts w:eastAsia="Century Gothic" w:cs="Century Gothic"/>
        </w:rPr>
      </w:pPr>
      <w:r w:rsidRPr="086EF74E">
        <w:rPr>
          <w:rFonts w:eastAsia="Century Gothic" w:cs="Century Gothic"/>
        </w:rPr>
        <w:lastRenderedPageBreak/>
        <w:t xml:space="preserve">“Companies </w:t>
      </w:r>
      <w:r w:rsidR="1567186E" w:rsidRPr="086EF74E">
        <w:rPr>
          <w:rFonts w:eastAsia="Century Gothic" w:cs="Century Gothic"/>
        </w:rPr>
        <w:t xml:space="preserve">should </w:t>
      </w:r>
      <w:r w:rsidR="0076755E">
        <w:rPr>
          <w:rFonts w:eastAsia="Century Gothic" w:cs="Century Gothic"/>
        </w:rPr>
        <w:t>really think about the culture they want to foster from a diversity and inclusion perspective, ensure messages in support of that culture come from the top and review internal policies – including family and flexible working related policies – to ensure they support the culture the company is striving to achieve.</w:t>
      </w:r>
      <w:r w:rsidR="00B91B8F">
        <w:rPr>
          <w:rFonts w:eastAsia="Century Gothic" w:cs="Century Gothic"/>
        </w:rPr>
        <w:t>”</w:t>
      </w:r>
      <w:r w:rsidR="0076755E">
        <w:rPr>
          <w:rFonts w:eastAsia="Century Gothic" w:cs="Century Gothic"/>
        </w:rPr>
        <w:t xml:space="preserve"> </w:t>
      </w:r>
    </w:p>
    <w:p w14:paraId="610D1A9E" w14:textId="77777777" w:rsidR="00B91B8F" w:rsidRDefault="00B91B8F" w:rsidP="086EF74E">
      <w:pPr>
        <w:rPr>
          <w:rFonts w:eastAsia="Century Gothic" w:cs="Century Gothic"/>
        </w:rPr>
      </w:pPr>
    </w:p>
    <w:p w14:paraId="34DF7716" w14:textId="7586EEC0" w:rsidR="482B7BC7" w:rsidRDefault="00B91B8F" w:rsidP="086EF74E">
      <w:pPr>
        <w:rPr>
          <w:rFonts w:eastAsia="Century Gothic" w:cs="Century Gothic"/>
        </w:rPr>
      </w:pPr>
      <w:r>
        <w:rPr>
          <w:rFonts w:eastAsia="Century Gothic" w:cs="Century Gothic"/>
        </w:rPr>
        <w:t>“</w:t>
      </w:r>
      <w:r w:rsidR="0076755E">
        <w:rPr>
          <w:rFonts w:eastAsia="Century Gothic" w:cs="Century Gothic"/>
        </w:rPr>
        <w:t>Examining available data as to gender disparity in businesses including when and why there is a decline in women in leadership positions is also an important starting point for identifying potential systemic issues.</w:t>
      </w:r>
      <w:r w:rsidR="7D416B79" w:rsidRPr="086EF74E">
        <w:rPr>
          <w:rFonts w:eastAsia="Century Gothic" w:cs="Century Gothic"/>
        </w:rPr>
        <w:t>”</w:t>
      </w:r>
      <w:r w:rsidR="397C60CD" w:rsidRPr="086EF74E">
        <w:rPr>
          <w:rFonts w:eastAsia="Century Gothic" w:cs="Century Gothic"/>
        </w:rPr>
        <w:t xml:space="preserve"> </w:t>
      </w:r>
    </w:p>
    <w:p w14:paraId="16D46950" w14:textId="716FF88E" w:rsidR="086EF74E" w:rsidRDefault="086EF74E" w:rsidP="086EF74E">
      <w:pPr>
        <w:rPr>
          <w:rFonts w:eastAsia="Century Gothic" w:cs="Century Gothic"/>
        </w:rPr>
      </w:pPr>
    </w:p>
    <w:p w14:paraId="2E986FB1" w14:textId="30378871" w:rsidR="4EAB8B41" w:rsidRDefault="4EAB8B41" w:rsidP="086EF74E">
      <w:pPr>
        <w:rPr>
          <w:rFonts w:eastAsia="Century Gothic" w:cs="Century Gothic"/>
        </w:rPr>
      </w:pPr>
      <w:r w:rsidRPr="086EF74E">
        <w:rPr>
          <w:rFonts w:eastAsia="Century Gothic" w:cs="Century Gothic"/>
        </w:rPr>
        <w:t>“</w:t>
      </w:r>
      <w:r w:rsidR="77CD27CB" w:rsidRPr="086EF74E">
        <w:rPr>
          <w:rFonts w:eastAsia="Century Gothic" w:cs="Century Gothic"/>
        </w:rPr>
        <w:t xml:space="preserve">Companies could </w:t>
      </w:r>
      <w:r w:rsidR="02B06180" w:rsidRPr="086EF74E">
        <w:rPr>
          <w:rFonts w:eastAsia="Century Gothic" w:cs="Century Gothic"/>
        </w:rPr>
        <w:t xml:space="preserve">also </w:t>
      </w:r>
      <w:r w:rsidR="6D5F8122" w:rsidRPr="086EF74E">
        <w:rPr>
          <w:rFonts w:eastAsia="Century Gothic" w:cs="Century Gothic"/>
        </w:rPr>
        <w:t xml:space="preserve">provide </w:t>
      </w:r>
      <w:r w:rsidR="77CD27CB" w:rsidRPr="086EF74E">
        <w:rPr>
          <w:rFonts w:eastAsia="Century Gothic" w:cs="Century Gothic"/>
        </w:rPr>
        <w:t xml:space="preserve">women </w:t>
      </w:r>
      <w:r w:rsidR="11E80A93" w:rsidRPr="086EF74E">
        <w:rPr>
          <w:rFonts w:eastAsia="Century Gothic" w:cs="Century Gothic"/>
        </w:rPr>
        <w:t xml:space="preserve">with </w:t>
      </w:r>
      <w:r w:rsidR="77CD27CB" w:rsidRPr="086EF74E">
        <w:rPr>
          <w:rFonts w:eastAsia="Century Gothic" w:cs="Century Gothic"/>
        </w:rPr>
        <w:t>more informal and formal networking</w:t>
      </w:r>
      <w:r w:rsidR="0076755E">
        <w:rPr>
          <w:rFonts w:eastAsia="Century Gothic" w:cs="Century Gothic"/>
        </w:rPr>
        <w:t>, mentoring and championing</w:t>
      </w:r>
      <w:r w:rsidR="77CD27CB" w:rsidRPr="086EF74E">
        <w:rPr>
          <w:rFonts w:eastAsia="Century Gothic" w:cs="Century Gothic"/>
        </w:rPr>
        <w:t xml:space="preserve"> opportunities</w:t>
      </w:r>
      <w:r w:rsidR="1F312E4D" w:rsidRPr="086EF74E">
        <w:rPr>
          <w:rFonts w:eastAsia="Century Gothic" w:cs="Century Gothic"/>
        </w:rPr>
        <w:t xml:space="preserve"> </w:t>
      </w:r>
      <w:r w:rsidR="77CD27CB" w:rsidRPr="086EF74E">
        <w:rPr>
          <w:rFonts w:eastAsia="Century Gothic" w:cs="Century Gothic"/>
        </w:rPr>
        <w:t xml:space="preserve">and </w:t>
      </w:r>
      <w:r w:rsidR="048329A2" w:rsidRPr="086EF74E">
        <w:rPr>
          <w:rFonts w:eastAsia="Century Gothic" w:cs="Century Gothic"/>
        </w:rPr>
        <w:t xml:space="preserve">more </w:t>
      </w:r>
      <w:r w:rsidR="77CD27CB" w:rsidRPr="086EF74E">
        <w:rPr>
          <w:rFonts w:eastAsia="Century Gothic" w:cs="Century Gothic"/>
        </w:rPr>
        <w:t>regularly review how work is allocated to support their progression</w:t>
      </w:r>
      <w:r w:rsidR="1A574568" w:rsidRPr="086EF74E">
        <w:rPr>
          <w:rFonts w:eastAsia="Century Gothic" w:cs="Century Gothic"/>
        </w:rPr>
        <w:t xml:space="preserve"> up to the highest positions in the firm</w:t>
      </w:r>
      <w:r w:rsidR="77CD27CB" w:rsidRPr="086EF74E">
        <w:rPr>
          <w:rFonts w:eastAsia="Century Gothic" w:cs="Century Gothic"/>
        </w:rPr>
        <w:t>.</w:t>
      </w:r>
      <w:r w:rsidR="1628DDD9" w:rsidRPr="086EF74E">
        <w:rPr>
          <w:rFonts w:eastAsia="Century Gothic" w:cs="Century Gothic"/>
        </w:rPr>
        <w:t>”</w:t>
      </w:r>
    </w:p>
    <w:p w14:paraId="55A75E87" w14:textId="7A221679" w:rsidR="086EF74E" w:rsidRDefault="086EF74E" w:rsidP="086EF74E">
      <w:pPr>
        <w:rPr>
          <w:rFonts w:eastAsia="Century Gothic" w:cs="Century Gothic"/>
        </w:rPr>
      </w:pPr>
    </w:p>
    <w:p w14:paraId="5D33A14E" w14:textId="5D7A3216" w:rsidR="77CD27CB" w:rsidRDefault="77CD27CB" w:rsidP="086EF74E">
      <w:r w:rsidRPr="086EF74E">
        <w:t>“</w:t>
      </w:r>
      <w:r w:rsidR="1A267CA1" w:rsidRPr="086EF74E">
        <w:t xml:space="preserve">The appointment of a board member whose responsibility is to advance women’s opportunities within the </w:t>
      </w:r>
      <w:r w:rsidR="065BEEB9" w:rsidRPr="086EF74E">
        <w:t xml:space="preserve">organisation </w:t>
      </w:r>
      <w:r w:rsidR="3FCB5E40" w:rsidRPr="086EF74E">
        <w:t>can help</w:t>
      </w:r>
      <w:r w:rsidR="731823AF" w:rsidRPr="086EF74E">
        <w:t xml:space="preserve"> to make this a priority issue</w:t>
      </w:r>
      <w:r w:rsidR="6F3B8878" w:rsidRPr="086EF74E">
        <w:t xml:space="preserve"> and fully </w:t>
      </w:r>
      <w:r w:rsidR="00DD3CE9">
        <w:t>identify and address any barriers to progression</w:t>
      </w:r>
      <w:r w:rsidR="007934D4">
        <w:t xml:space="preserve"> and ways of addressing these</w:t>
      </w:r>
      <w:r w:rsidR="1A267CA1" w:rsidRPr="086EF74E">
        <w:t>.</w:t>
      </w:r>
      <w:r w:rsidR="70FA9B0E" w:rsidRPr="086EF74E">
        <w:t>”</w:t>
      </w:r>
      <w:r w:rsidR="1A267CA1" w:rsidRPr="086EF74E">
        <w:t xml:space="preserve"> </w:t>
      </w:r>
    </w:p>
    <w:p w14:paraId="65AC1ACA" w14:textId="7AB69FAE" w:rsidR="086EF74E" w:rsidRDefault="086EF74E" w:rsidP="086EF74E"/>
    <w:p w14:paraId="210B5F37" w14:textId="1482DC97" w:rsidR="79A7683D" w:rsidRDefault="79A7683D" w:rsidP="086EF74E">
      <w:r w:rsidRPr="086EF74E">
        <w:t>“</w:t>
      </w:r>
      <w:r w:rsidR="4E870085" w:rsidRPr="086EF74E">
        <w:t xml:space="preserve">Targets for </w:t>
      </w:r>
      <w:r w:rsidR="03117F1D" w:rsidRPr="086EF74E">
        <w:t xml:space="preserve">all </w:t>
      </w:r>
      <w:r w:rsidR="4E870085" w:rsidRPr="086EF74E">
        <w:t xml:space="preserve">senior leaders to promote female opportunities can help to incentivise </w:t>
      </w:r>
      <w:r w:rsidR="43DD8B6B" w:rsidRPr="086EF74E">
        <w:t xml:space="preserve">true and long-lasting </w:t>
      </w:r>
      <w:r w:rsidR="4E870085" w:rsidRPr="086EF74E">
        <w:t>change</w:t>
      </w:r>
      <w:r w:rsidR="0992E694" w:rsidRPr="086EF74E">
        <w:t xml:space="preserve"> and help women succeed </w:t>
      </w:r>
      <w:r w:rsidR="701E96E0" w:rsidRPr="086EF74E">
        <w:t xml:space="preserve">in the very highest positions of </w:t>
      </w:r>
      <w:r w:rsidR="0992E694" w:rsidRPr="086EF74E">
        <w:t>the firm</w:t>
      </w:r>
      <w:r w:rsidR="008801B0" w:rsidRPr="086EF74E">
        <w:t>.</w:t>
      </w:r>
      <w:r w:rsidR="6E50F1D6" w:rsidRPr="086EF74E">
        <w:t>”</w:t>
      </w:r>
    </w:p>
    <w:p w14:paraId="5B9CADFF" w14:textId="682DBA01" w:rsidR="086EF74E" w:rsidRDefault="086EF74E" w:rsidP="086EF74E">
      <w:pPr>
        <w:pStyle w:val="NormalWeb"/>
        <w:spacing w:before="0" w:beforeAutospacing="0" w:after="0" w:afterAutospacing="0"/>
        <w:rPr>
          <w:rFonts w:ascii="Century Gothic" w:eastAsia="Calibri" w:hAnsi="Century Gothic"/>
          <w:color w:val="333333"/>
          <w:sz w:val="27"/>
          <w:szCs w:val="27"/>
        </w:rPr>
      </w:pPr>
    </w:p>
    <w:p w14:paraId="7E506FCF" w14:textId="6124946E" w:rsidR="001B4EA0" w:rsidRDefault="00F2146A" w:rsidP="086EF74E">
      <w:pPr>
        <w:pStyle w:val="NormalWeb"/>
        <w:spacing w:before="0" w:beforeAutospacing="0" w:after="360" w:afterAutospacing="0"/>
        <w:jc w:val="center"/>
        <w:rPr>
          <w:rFonts w:ascii="Century Gothic" w:hAnsi="Century Gothic"/>
          <w:b/>
          <w:bCs/>
          <w:color w:val="000000"/>
          <w:sz w:val="22"/>
          <w:szCs w:val="22"/>
        </w:rPr>
      </w:pPr>
      <w:r w:rsidRPr="086EF74E">
        <w:rPr>
          <w:rStyle w:val="eop"/>
          <w:rFonts w:ascii="Century Gothic" w:hAnsi="Century Gothic" w:cs="Segoe UI"/>
          <w:sz w:val="22"/>
          <w:szCs w:val="22"/>
        </w:rPr>
        <w:t> </w:t>
      </w:r>
      <w:r w:rsidR="001175FE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Average pay of male and female executive and </w:t>
      </w:r>
      <w:r w:rsidR="4CAB52D6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>non-</w:t>
      </w:r>
      <w:r w:rsidR="001175FE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>executive directors at FTSE</w:t>
      </w:r>
      <w:r w:rsidR="001B4EA0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</w:t>
      </w:r>
      <w:r w:rsidR="001175FE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>100 firms</w:t>
      </w:r>
      <w:r w:rsidR="001B4EA0" w:rsidRPr="086EF74E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 in 2022</w:t>
      </w:r>
    </w:p>
    <w:p w14:paraId="0A60D21D" w14:textId="31D28340" w:rsidR="00D9224D" w:rsidRPr="00D9224D" w:rsidRDefault="003467DF" w:rsidP="00D9224D">
      <w:pPr>
        <w:pStyle w:val="NormalWeb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74020816" wp14:editId="21D6E463">
            <wp:extent cx="5873750" cy="2990850"/>
            <wp:effectExtent l="0" t="0" r="0" b="0"/>
            <wp:docPr id="13612792" name="Picture 1" descr="A graph of people with different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792" name="Picture 1" descr="A graph of people with different numbers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826" r="860" b="1839"/>
                    <a:stretch/>
                  </pic:blipFill>
                  <pic:spPr bwMode="auto">
                    <a:xfrm>
                      <a:off x="0" y="0"/>
                      <a:ext cx="587375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31589" w14:textId="77777777" w:rsidR="00D9224D" w:rsidRPr="00D9224D" w:rsidRDefault="00D9224D" w:rsidP="00D9224D">
      <w:pPr>
        <w:jc w:val="center"/>
        <w:rPr>
          <w:b/>
          <w:bCs/>
        </w:rPr>
      </w:pPr>
      <w:r w:rsidRPr="00D9224D">
        <w:rPr>
          <w:b/>
          <w:bCs/>
        </w:rPr>
        <w:t>ENDS</w:t>
      </w:r>
    </w:p>
    <w:p w14:paraId="2CC711B4" w14:textId="77777777" w:rsidR="00D9224D" w:rsidRDefault="00D9224D" w:rsidP="00D9224D"/>
    <w:p w14:paraId="318685E5" w14:textId="2B151591" w:rsidR="00D9224D" w:rsidRPr="00D9224D" w:rsidRDefault="00D9224D" w:rsidP="00D9224D">
      <w:pPr>
        <w:rPr>
          <w:b/>
          <w:bCs/>
        </w:rPr>
      </w:pPr>
      <w:r w:rsidRPr="00D9224D">
        <w:rPr>
          <w:b/>
          <w:bCs/>
        </w:rPr>
        <w:t>Press Contact</w:t>
      </w:r>
    </w:p>
    <w:p w14:paraId="698A4EC4" w14:textId="77777777" w:rsidR="00D9224D" w:rsidRDefault="00D9224D" w:rsidP="00D9224D">
      <w:r>
        <w:t>Catriona Watt</w:t>
      </w:r>
    </w:p>
    <w:p w14:paraId="6BD14A98" w14:textId="77777777" w:rsidR="00D9224D" w:rsidRDefault="00D9224D" w:rsidP="00D9224D">
      <w:r>
        <w:t>Partner</w:t>
      </w:r>
    </w:p>
    <w:p w14:paraId="23E110EB" w14:textId="77777777" w:rsidR="00D9224D" w:rsidRDefault="00D9224D" w:rsidP="00D9224D">
      <w:r>
        <w:t>Fox &amp; Partners</w:t>
      </w:r>
    </w:p>
    <w:p w14:paraId="61A25148" w14:textId="77777777" w:rsidR="00D9224D" w:rsidRDefault="00D9224D" w:rsidP="00D9224D">
      <w:r>
        <w:t>D: +44 20 7618 2887</w:t>
      </w:r>
    </w:p>
    <w:p w14:paraId="6A3391DC" w14:textId="0C52DAD8" w:rsidR="00D9224D" w:rsidRPr="00D9224D" w:rsidRDefault="00D9224D" w:rsidP="00D9224D">
      <w:pPr>
        <w:rPr>
          <w:lang w:eastAsia="en-GB"/>
        </w:rPr>
      </w:pPr>
      <w:r>
        <w:t>M: +44 7912 731 883</w:t>
      </w:r>
    </w:p>
    <w:sectPr w:rsidR="00D9224D" w:rsidRPr="00D92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obn5IHz" int2:invalidationBookmarkName="" int2:hashCode="06GjtRXS+gRZ12" int2:id="KkXfmpZN">
      <int2:state int2:value="Rejected" int2:type="AugLoop_Text_Critique"/>
    </int2:bookmark>
    <int2:bookmark int2:bookmarkName="_Int_jAftvM4H" int2:invalidationBookmarkName="" int2:hashCode="v8leUPgo8K7NYy" int2:id="pcpHdmqy">
      <int2:state int2:value="Rejected" int2:type="AugLoop_Text_Critique"/>
    </int2:bookmark>
    <int2:bookmark int2:bookmarkName="_Int_8NWyETjk" int2:invalidationBookmarkName="" int2:hashCode="UV+Lt1ij8e/Zlu" int2:id="ZUjz97pY">
      <int2:state int2:value="Rejected" int2:type="AugLoop_Text_Critique"/>
    </int2:bookmark>
    <int2:bookmark int2:bookmarkName="_Int_GQb83NIS" int2:invalidationBookmarkName="" int2:hashCode="iO5027ADLA76fV" int2:id="XuKurWqQ">
      <int2:state int2:value="Rejected" int2:type="AugLoop_Text_Critique"/>
    </int2:bookmark>
    <int2:bookmark int2:bookmarkName="_Int_TIezxa5C" int2:invalidationBookmarkName="" int2:hashCode="eF745FqhjvHOZm" int2:id="0txLTvOj">
      <int2:state int2:value="Rejected" int2:type="AugLoop_Text_Critique"/>
    </int2:bookmark>
    <int2:bookmark int2:bookmarkName="_Int_XTMdAzZ4" int2:invalidationBookmarkName="" int2:hashCode="Ym2Vl43E8xse6/" int2:id="oxaTFrYY">
      <int2:state int2:value="Rejected" int2:type="AugLoop_Text_Critique"/>
    </int2:bookmark>
    <int2:bookmark int2:bookmarkName="_Int_V9UsNDlD" int2:invalidationBookmarkName="" int2:hashCode="v8leUPgo8K7NYy" int2:id="dLjkYJyO">
      <int2:state int2:value="Rejected" int2:type="AugLoop_Text_Critique"/>
    </int2:bookmark>
    <int2:bookmark int2:bookmarkName="_Int_mXUZQMeX" int2:invalidationBookmarkName="" int2:hashCode="v8leUPgo8K7NYy" int2:id="YmzLzCs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0EF"/>
    <w:multiLevelType w:val="hybridMultilevel"/>
    <w:tmpl w:val="62B075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36CAD"/>
    <w:multiLevelType w:val="multilevel"/>
    <w:tmpl w:val="148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C21B7D"/>
    <w:multiLevelType w:val="multilevel"/>
    <w:tmpl w:val="86E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F46D52"/>
    <w:multiLevelType w:val="multilevel"/>
    <w:tmpl w:val="52A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2907691">
    <w:abstractNumId w:val="3"/>
  </w:num>
  <w:num w:numId="2" w16cid:durableId="562565504">
    <w:abstractNumId w:val="1"/>
  </w:num>
  <w:num w:numId="3" w16cid:durableId="901525904">
    <w:abstractNumId w:val="2"/>
  </w:num>
  <w:num w:numId="4" w16cid:durableId="17091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A"/>
    <w:rsid w:val="00013E2D"/>
    <w:rsid w:val="0007014F"/>
    <w:rsid w:val="001175FE"/>
    <w:rsid w:val="001B4EA0"/>
    <w:rsid w:val="00232F42"/>
    <w:rsid w:val="002735CB"/>
    <w:rsid w:val="002D6047"/>
    <w:rsid w:val="003467DF"/>
    <w:rsid w:val="003A7BA0"/>
    <w:rsid w:val="003C252F"/>
    <w:rsid w:val="003D254D"/>
    <w:rsid w:val="003F0F49"/>
    <w:rsid w:val="003F1F8A"/>
    <w:rsid w:val="004B0E02"/>
    <w:rsid w:val="004E22B7"/>
    <w:rsid w:val="00561E2F"/>
    <w:rsid w:val="005B2C6F"/>
    <w:rsid w:val="005D45A1"/>
    <w:rsid w:val="005F0319"/>
    <w:rsid w:val="005F5C96"/>
    <w:rsid w:val="00740D65"/>
    <w:rsid w:val="0076755E"/>
    <w:rsid w:val="007934D4"/>
    <w:rsid w:val="007F2260"/>
    <w:rsid w:val="007F52FA"/>
    <w:rsid w:val="00846FEC"/>
    <w:rsid w:val="00852724"/>
    <w:rsid w:val="008801B0"/>
    <w:rsid w:val="00976E6B"/>
    <w:rsid w:val="009C382A"/>
    <w:rsid w:val="00A7AFB5"/>
    <w:rsid w:val="00A87FBE"/>
    <w:rsid w:val="00AA2548"/>
    <w:rsid w:val="00AF19C8"/>
    <w:rsid w:val="00B03D84"/>
    <w:rsid w:val="00B91B8F"/>
    <w:rsid w:val="00BA2F3E"/>
    <w:rsid w:val="00BD45E0"/>
    <w:rsid w:val="00BD6E20"/>
    <w:rsid w:val="00C30529"/>
    <w:rsid w:val="00D9224D"/>
    <w:rsid w:val="00DA2AAB"/>
    <w:rsid w:val="00DC2B85"/>
    <w:rsid w:val="00DD3CE9"/>
    <w:rsid w:val="00DD6605"/>
    <w:rsid w:val="00E16ED2"/>
    <w:rsid w:val="00E3743B"/>
    <w:rsid w:val="00F2146A"/>
    <w:rsid w:val="00F56B66"/>
    <w:rsid w:val="00F805B7"/>
    <w:rsid w:val="017C5196"/>
    <w:rsid w:val="01E7A17D"/>
    <w:rsid w:val="02B06180"/>
    <w:rsid w:val="03117F1D"/>
    <w:rsid w:val="03731B35"/>
    <w:rsid w:val="048329A2"/>
    <w:rsid w:val="04DA4947"/>
    <w:rsid w:val="04ED117D"/>
    <w:rsid w:val="0538A63A"/>
    <w:rsid w:val="05EE6805"/>
    <w:rsid w:val="0600EB30"/>
    <w:rsid w:val="065BEEB9"/>
    <w:rsid w:val="06CC580F"/>
    <w:rsid w:val="0824B23F"/>
    <w:rsid w:val="086EF74E"/>
    <w:rsid w:val="0920EE9D"/>
    <w:rsid w:val="0992E694"/>
    <w:rsid w:val="0A6FA655"/>
    <w:rsid w:val="0A81F8CF"/>
    <w:rsid w:val="0B9F3C9E"/>
    <w:rsid w:val="0D7ED52A"/>
    <w:rsid w:val="0DA74717"/>
    <w:rsid w:val="0E066DA5"/>
    <w:rsid w:val="0F6C5D97"/>
    <w:rsid w:val="0F72D9DF"/>
    <w:rsid w:val="108CB4BB"/>
    <w:rsid w:val="10D13F95"/>
    <w:rsid w:val="11E80A93"/>
    <w:rsid w:val="126D0FF6"/>
    <w:rsid w:val="127AB83A"/>
    <w:rsid w:val="13066DEB"/>
    <w:rsid w:val="136764E6"/>
    <w:rsid w:val="1408E057"/>
    <w:rsid w:val="14B8813C"/>
    <w:rsid w:val="14D176C8"/>
    <w:rsid w:val="15150538"/>
    <w:rsid w:val="1567186E"/>
    <w:rsid w:val="1628DDD9"/>
    <w:rsid w:val="163CC1E3"/>
    <w:rsid w:val="167524BC"/>
    <w:rsid w:val="16DA7C75"/>
    <w:rsid w:val="18832D91"/>
    <w:rsid w:val="18DC517A"/>
    <w:rsid w:val="19224488"/>
    <w:rsid w:val="1A121D37"/>
    <w:rsid w:val="1A267CA1"/>
    <w:rsid w:val="1A574568"/>
    <w:rsid w:val="1AAE3FAD"/>
    <w:rsid w:val="1ABE14E9"/>
    <w:rsid w:val="1BC3EDCC"/>
    <w:rsid w:val="1BC5D914"/>
    <w:rsid w:val="1C13F23C"/>
    <w:rsid w:val="1C59E54A"/>
    <w:rsid w:val="1D2C6218"/>
    <w:rsid w:val="1E68A63B"/>
    <w:rsid w:val="1F312E4D"/>
    <w:rsid w:val="1F91860C"/>
    <w:rsid w:val="200EABBD"/>
    <w:rsid w:val="204DD574"/>
    <w:rsid w:val="212D566D"/>
    <w:rsid w:val="21995601"/>
    <w:rsid w:val="21E9A5D5"/>
    <w:rsid w:val="232EC45C"/>
    <w:rsid w:val="2349137C"/>
    <w:rsid w:val="240EDB56"/>
    <w:rsid w:val="25214697"/>
    <w:rsid w:val="258BF9C1"/>
    <w:rsid w:val="26BD16F8"/>
    <w:rsid w:val="2711B2C9"/>
    <w:rsid w:val="271FBD3D"/>
    <w:rsid w:val="27987044"/>
    <w:rsid w:val="27A48577"/>
    <w:rsid w:val="281D7621"/>
    <w:rsid w:val="28B7C364"/>
    <w:rsid w:val="292B77BE"/>
    <w:rsid w:val="294055D8"/>
    <w:rsid w:val="2A96332B"/>
    <w:rsid w:val="2ADC2639"/>
    <w:rsid w:val="2B54D3E5"/>
    <w:rsid w:val="2C0DF28E"/>
    <w:rsid w:val="2C6CDD86"/>
    <w:rsid w:val="2C7ECC38"/>
    <w:rsid w:val="2C9D03DC"/>
    <w:rsid w:val="2D428923"/>
    <w:rsid w:val="2F199FDE"/>
    <w:rsid w:val="2F2D29AD"/>
    <w:rsid w:val="2F69176E"/>
    <w:rsid w:val="3005BF80"/>
    <w:rsid w:val="307A29E5"/>
    <w:rsid w:val="3104E7CF"/>
    <w:rsid w:val="313A4222"/>
    <w:rsid w:val="317920F1"/>
    <w:rsid w:val="31BA0EEE"/>
    <w:rsid w:val="31E9E081"/>
    <w:rsid w:val="31F87133"/>
    <w:rsid w:val="3215FA46"/>
    <w:rsid w:val="32A0B830"/>
    <w:rsid w:val="3621FCAA"/>
    <w:rsid w:val="36734ED6"/>
    <w:rsid w:val="36CBE256"/>
    <w:rsid w:val="37ADD558"/>
    <w:rsid w:val="3867B2B7"/>
    <w:rsid w:val="38B63CF1"/>
    <w:rsid w:val="390FF9B4"/>
    <w:rsid w:val="39742951"/>
    <w:rsid w:val="397C60CD"/>
    <w:rsid w:val="398C9679"/>
    <w:rsid w:val="3C8208E2"/>
    <w:rsid w:val="3D35EF99"/>
    <w:rsid w:val="3DAD1011"/>
    <w:rsid w:val="3DB314E6"/>
    <w:rsid w:val="3DD0AFB1"/>
    <w:rsid w:val="3E0E9759"/>
    <w:rsid w:val="3EB3D830"/>
    <w:rsid w:val="3F9FBEE0"/>
    <w:rsid w:val="3FCB5E40"/>
    <w:rsid w:val="400E7495"/>
    <w:rsid w:val="40B2B5E1"/>
    <w:rsid w:val="4122F91F"/>
    <w:rsid w:val="4143DAB5"/>
    <w:rsid w:val="429B4562"/>
    <w:rsid w:val="438F9AF8"/>
    <w:rsid w:val="4391BC6E"/>
    <w:rsid w:val="43DD8B6B"/>
    <w:rsid w:val="443899AD"/>
    <w:rsid w:val="44588E2D"/>
    <w:rsid w:val="44850CD2"/>
    <w:rsid w:val="4552161F"/>
    <w:rsid w:val="4586A0D9"/>
    <w:rsid w:val="45919ACF"/>
    <w:rsid w:val="46976EA3"/>
    <w:rsid w:val="475C05FE"/>
    <w:rsid w:val="47AAD0C5"/>
    <w:rsid w:val="48175B6B"/>
    <w:rsid w:val="482B7BC7"/>
    <w:rsid w:val="48C88FE7"/>
    <w:rsid w:val="4926DE00"/>
    <w:rsid w:val="492E0B04"/>
    <w:rsid w:val="4B4EFC2D"/>
    <w:rsid w:val="4B6CCC3E"/>
    <w:rsid w:val="4B8766E7"/>
    <w:rsid w:val="4BC1C57F"/>
    <w:rsid w:val="4BE30863"/>
    <w:rsid w:val="4C44DAD4"/>
    <w:rsid w:val="4C65ABC6"/>
    <w:rsid w:val="4CAB52D6"/>
    <w:rsid w:val="4D94766C"/>
    <w:rsid w:val="4E842613"/>
    <w:rsid w:val="4E870085"/>
    <w:rsid w:val="4EAB8B41"/>
    <w:rsid w:val="4F9D4C88"/>
    <w:rsid w:val="4FFBB423"/>
    <w:rsid w:val="50B67986"/>
    <w:rsid w:val="511A003F"/>
    <w:rsid w:val="51AB531C"/>
    <w:rsid w:val="51E7CF89"/>
    <w:rsid w:val="526A9648"/>
    <w:rsid w:val="53E9F29B"/>
    <w:rsid w:val="54C7F628"/>
    <w:rsid w:val="569A4F41"/>
    <w:rsid w:val="57C80AD6"/>
    <w:rsid w:val="593B729F"/>
    <w:rsid w:val="59AEDC42"/>
    <w:rsid w:val="59CAEC06"/>
    <w:rsid w:val="5A55CA46"/>
    <w:rsid w:val="5A55F35A"/>
    <w:rsid w:val="5BB164B2"/>
    <w:rsid w:val="5C7106D5"/>
    <w:rsid w:val="5CB21603"/>
    <w:rsid w:val="5DE2460B"/>
    <w:rsid w:val="5E49F38A"/>
    <w:rsid w:val="5E6F9724"/>
    <w:rsid w:val="5E7E6B8D"/>
    <w:rsid w:val="5F1C9602"/>
    <w:rsid w:val="5FE5CBE6"/>
    <w:rsid w:val="60510BBE"/>
    <w:rsid w:val="60BBB75E"/>
    <w:rsid w:val="60D5FA0E"/>
    <w:rsid w:val="6155C4BF"/>
    <w:rsid w:val="6181944C"/>
    <w:rsid w:val="6378FCBD"/>
    <w:rsid w:val="63938DC1"/>
    <w:rsid w:val="63C5ABAA"/>
    <w:rsid w:val="648C6FBC"/>
    <w:rsid w:val="65DB4481"/>
    <w:rsid w:val="664C624A"/>
    <w:rsid w:val="671119C3"/>
    <w:rsid w:val="671E35CA"/>
    <w:rsid w:val="67F0D5D0"/>
    <w:rsid w:val="692B5CE3"/>
    <w:rsid w:val="69DE1A4B"/>
    <w:rsid w:val="6A2EB4BA"/>
    <w:rsid w:val="6A34ED2E"/>
    <w:rsid w:val="6A88FA1D"/>
    <w:rsid w:val="6A9404AA"/>
    <w:rsid w:val="6C25950A"/>
    <w:rsid w:val="6D5F8122"/>
    <w:rsid w:val="6DAD0D1C"/>
    <w:rsid w:val="6DE42525"/>
    <w:rsid w:val="6E50F1D6"/>
    <w:rsid w:val="6F348DEC"/>
    <w:rsid w:val="6F3B8878"/>
    <w:rsid w:val="6F4F804F"/>
    <w:rsid w:val="7019F9C9"/>
    <w:rsid w:val="701E96E0"/>
    <w:rsid w:val="703C2F16"/>
    <w:rsid w:val="7061EE12"/>
    <w:rsid w:val="70620655"/>
    <w:rsid w:val="7088447B"/>
    <w:rsid w:val="70CEF2C2"/>
    <w:rsid w:val="70FA9B0E"/>
    <w:rsid w:val="70FC25E5"/>
    <w:rsid w:val="71500EEE"/>
    <w:rsid w:val="71B5CA2A"/>
    <w:rsid w:val="731823AF"/>
    <w:rsid w:val="73679BC5"/>
    <w:rsid w:val="74DB3938"/>
    <w:rsid w:val="74ED6AEC"/>
    <w:rsid w:val="757BF9CD"/>
    <w:rsid w:val="76093AED"/>
    <w:rsid w:val="775DF921"/>
    <w:rsid w:val="77CD27CB"/>
    <w:rsid w:val="793B62E1"/>
    <w:rsid w:val="79A7683D"/>
    <w:rsid w:val="7A20E095"/>
    <w:rsid w:val="7ADEB32D"/>
    <w:rsid w:val="7B26EE13"/>
    <w:rsid w:val="7B4C8F5D"/>
    <w:rsid w:val="7C14DAFA"/>
    <w:rsid w:val="7CC35B9F"/>
    <w:rsid w:val="7D20504F"/>
    <w:rsid w:val="7D416B79"/>
    <w:rsid w:val="7D588157"/>
    <w:rsid w:val="7DB0AB5B"/>
    <w:rsid w:val="7EA1DB29"/>
    <w:rsid w:val="7FE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C4F4"/>
  <w15:chartTrackingRefBased/>
  <w15:docId w15:val="{C88A97C8-B1D9-4F40-9ABF-B5958A6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6B"/>
    <w:pPr>
      <w:spacing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C305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14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2146A"/>
  </w:style>
  <w:style w:type="character" w:customStyle="1" w:styleId="eop">
    <w:name w:val="eop"/>
    <w:basedOn w:val="DefaultParagraphFont"/>
    <w:rsid w:val="00F2146A"/>
  </w:style>
  <w:style w:type="character" w:customStyle="1" w:styleId="Heading1Char">
    <w:name w:val="Heading 1 Char"/>
    <w:basedOn w:val="DefaultParagraphFont"/>
    <w:link w:val="Heading1"/>
    <w:uiPriority w:val="9"/>
    <w:rsid w:val="00C3052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1175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3467DF"/>
    <w:pPr>
      <w:spacing w:after="0" w:line="240" w:lineRule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0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 F O X D O C S 0 1 ! 5 0 4 8 0 3 . 1 < / d o c u m e n t i d >  
     < s e n d e r i d > C W A T T _ 1 7 5 _ F O X L A W Y E R < / s e n d e r i d >  
     < s e n d e r e m a i l / >  
     < l a s t m o d i f i e d > 2 0 2 3 - 1 1 - 0 1 T 1 1 : 5 7 : 0 0 . 0 0 0 0 0 0 0 + 0 0 : 0 0 < / l a s t m o d i f i e d >  
     < d a t a b a s e > F O X D O C S 0 1 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59BCED3FDE044846C8E2D4DC39BF9" ma:contentTypeVersion="15" ma:contentTypeDescription="Create a new document." ma:contentTypeScope="" ma:versionID="f96535d4e37291fdd6a27516ea639166">
  <xsd:schema xmlns:xsd="http://www.w3.org/2001/XMLSchema" xmlns:xs="http://www.w3.org/2001/XMLSchema" xmlns:p="http://schemas.microsoft.com/office/2006/metadata/properties" xmlns:ns2="cf75a329-18dc-4bb1-9254-9df732b5ed50" xmlns:ns3="5c4caafa-715e-4815-a41f-8b92795181d3" targetNamespace="http://schemas.microsoft.com/office/2006/metadata/properties" ma:root="true" ma:fieldsID="8254e4a6387e910768b4ead6cc1cae32" ns2:_="" ns3:_="">
    <xsd:import namespace="cf75a329-18dc-4bb1-9254-9df732b5ed50"/>
    <xsd:import namespace="5c4caafa-715e-4815-a41f-8b9279518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5a329-18dc-4bb1-9254-9df732b5e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87c265-1e86-4774-ab40-36e8b4776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caafa-715e-4815-a41f-8b9279518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6db73f-a311-43a2-ac71-06f949690946}" ma:internalName="TaxCatchAll" ma:showField="CatchAllData" ma:web="5c4caafa-715e-4815-a41f-8b9279518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F97CA-BFA9-4168-8987-5FEDA642D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E5E99-1FAF-4F18-BDEC-25B8C766DCB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7E62FD0-E4CF-4787-A2BE-E4323BB6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5a329-18dc-4bb1-9254-9df732b5ed50"/>
    <ds:schemaRef ds:uri="5c4caafa-715e-4815-a41f-8b9279518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Jackson</dc:creator>
  <cp:keywords/>
  <dc:description/>
  <cp:lastModifiedBy>Victoria Ash</cp:lastModifiedBy>
  <cp:revision>4</cp:revision>
  <dcterms:created xsi:type="dcterms:W3CDTF">2023-11-01T12:23:00Z</dcterms:created>
  <dcterms:modified xsi:type="dcterms:W3CDTF">2023-12-14T17:14:00Z</dcterms:modified>
</cp:coreProperties>
</file>